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52A7" w:rsidRPr="00756528" w:rsidRDefault="005B2455">
      <w:pPr>
        <w:pStyle w:val="FirstParagraph"/>
        <w:rPr>
          <w:lang w:val="el-GR"/>
        </w:rPr>
      </w:pPr>
      <w:r w:rsidRPr="00756528">
        <w:rPr>
          <w:lang w:val="el-GR"/>
        </w:rPr>
        <w:t>ΠΡΟΣ: Δήμο ____________</w:t>
      </w:r>
    </w:p>
    <w:p w:rsidR="00B552A7" w:rsidRPr="00756528" w:rsidRDefault="005B2455">
      <w:pPr>
        <w:pStyle w:val="BodyText"/>
        <w:rPr>
          <w:lang w:val="el-GR"/>
        </w:rPr>
      </w:pPr>
      <w:r w:rsidRPr="00756528">
        <w:rPr>
          <w:lang w:val="el-GR"/>
        </w:rPr>
        <w:t>ΑΝΑΦΟΡΑ – ΚΑΤΑΓΓΕΛΙΑ για Παράνομο και Βλαπτικό Υπαίθριο Φωτισμό</w:t>
      </w:r>
    </w:p>
    <w:p w:rsidR="00B552A7" w:rsidRPr="00756528" w:rsidRDefault="005B2455">
      <w:pPr>
        <w:pStyle w:val="BodyText"/>
        <w:rPr>
          <w:lang w:val="el-GR"/>
        </w:rPr>
      </w:pPr>
      <w:r w:rsidRPr="00756528">
        <w:rPr>
          <w:lang w:val="el-GR"/>
        </w:rPr>
        <w:t>Αξιότιμοι κύριοι,</w:t>
      </w:r>
    </w:p>
    <w:p w:rsidR="00B552A7" w:rsidRPr="00756528" w:rsidRDefault="005B2455">
      <w:pPr>
        <w:pStyle w:val="BodyText"/>
        <w:rPr>
          <w:lang w:val="el-GR"/>
        </w:rPr>
      </w:pPr>
      <w:r w:rsidRPr="00756528">
        <w:rPr>
          <w:lang w:val="el-GR"/>
        </w:rPr>
        <w:t>Με την παρούσα αναφορά, καταγγέλλω την ύπαρξη και συνεχή λειτουργία φωτιστικών σωμάτων οδικού και εξωτερικού δημόσιου φωτισμού εντός των ορίων του Δήμου σας, τα οποία:</w:t>
      </w:r>
    </w:p>
    <w:p w:rsidR="00B552A7" w:rsidRPr="00756528" w:rsidRDefault="005B2455">
      <w:pPr>
        <w:pStyle w:val="Compact"/>
        <w:numPr>
          <w:ilvl w:val="0"/>
          <w:numId w:val="2"/>
        </w:numPr>
        <w:rPr>
          <w:lang w:val="el-GR"/>
        </w:rPr>
      </w:pPr>
      <w:r w:rsidRPr="00756528">
        <w:rPr>
          <w:lang w:val="el-GR"/>
        </w:rPr>
        <w:t xml:space="preserve">Είναι τοποθετημένα χωρίς αποδοτικούς περιοριστές φωτεινής ροής (καπέλα τύπου </w:t>
      </w:r>
      <w:r>
        <w:t>cutoff</w:t>
      </w:r>
      <w:r w:rsidR="00756528">
        <w:rPr>
          <w:lang w:val="el-GR"/>
        </w:rPr>
        <w:t xml:space="preserve">) με αποτέλεσμα την σπατάλη ενέργειας για τον φωτισμό όχι </w:t>
      </w:r>
      <w:r>
        <w:rPr>
          <w:lang w:val="el-GR"/>
        </w:rPr>
        <w:t xml:space="preserve">μόνο </w:t>
      </w:r>
      <w:r w:rsidR="00756528">
        <w:rPr>
          <w:lang w:val="el-GR"/>
        </w:rPr>
        <w:t>του εδάφους αλλά και των οικιών, των δέντρων και του ουρανού.</w:t>
      </w:r>
    </w:p>
    <w:p w:rsidR="00B552A7" w:rsidRPr="00756528" w:rsidRDefault="005B2455">
      <w:pPr>
        <w:pStyle w:val="Compact"/>
        <w:numPr>
          <w:ilvl w:val="0"/>
          <w:numId w:val="2"/>
        </w:numPr>
        <w:rPr>
          <w:lang w:val="el-GR"/>
        </w:rPr>
      </w:pPr>
      <w:r>
        <w:rPr>
          <w:lang w:val="el-GR"/>
        </w:rPr>
        <w:t>Πολλά από αυτά είναι χαλασμένα/σπασμένα με αποτέλεσμα να ε</w:t>
      </w:r>
      <w:r w:rsidRPr="00756528">
        <w:rPr>
          <w:lang w:val="el-GR"/>
        </w:rPr>
        <w:t>κπέμπουν κάθε</w:t>
      </w:r>
      <w:r>
        <w:rPr>
          <w:lang w:val="el-GR"/>
        </w:rPr>
        <w:t>τα ή και άνωθεν προς τον ουρανό εδώ και πάρα πολύ καιρό χωρίς κανένας να ασχοληθεί.</w:t>
      </w:r>
    </w:p>
    <w:p w:rsidR="00B552A7" w:rsidRPr="00756528" w:rsidRDefault="005B2455">
      <w:pPr>
        <w:pStyle w:val="Compact"/>
        <w:numPr>
          <w:ilvl w:val="0"/>
          <w:numId w:val="2"/>
        </w:numPr>
        <w:rPr>
          <w:lang w:val="el-GR"/>
        </w:rPr>
      </w:pPr>
      <w:r w:rsidRPr="00756528">
        <w:rPr>
          <w:lang w:val="el-GR"/>
        </w:rPr>
        <w:t>Χρησιμοποιούν λαμπτήρες πολύ υψηλής θερμοκρασίας χρώματος (π.χ. 5000–6500</w:t>
      </w:r>
      <w:r>
        <w:t>K</w:t>
      </w:r>
      <w:r w:rsidRPr="00756528">
        <w:rPr>
          <w:lang w:val="el-GR"/>
        </w:rPr>
        <w:t xml:space="preserve"> </w:t>
      </w:r>
      <w:r>
        <w:t>LED</w:t>
      </w:r>
      <w:r>
        <w:rPr>
          <w:lang w:val="el-GR"/>
        </w:rPr>
        <w:t>) οι οποίοι είναι ακατάλληλοι καθώς σύμφωνα με ευρωπαϊκές νομοθεσίες και οδηγίες θα πρέπει να χρησιμοποιούνται αποκλειστικά λαμπτήρες θερμοκρασίας 2700Κ</w:t>
      </w:r>
      <w:r w:rsidRPr="005B2455">
        <w:rPr>
          <w:lang w:val="el-GR"/>
        </w:rPr>
        <w:t xml:space="preserve"> </w:t>
      </w:r>
      <w:r>
        <w:rPr>
          <w:lang w:val="el-GR"/>
        </w:rPr>
        <w:t>ή και χαμηλότερης.</w:t>
      </w:r>
    </w:p>
    <w:p w:rsidR="00756528" w:rsidRPr="00756528" w:rsidRDefault="005B2455" w:rsidP="00756528">
      <w:pPr>
        <w:pStyle w:val="Compact"/>
        <w:numPr>
          <w:ilvl w:val="0"/>
          <w:numId w:val="2"/>
        </w:numPr>
        <w:rPr>
          <w:lang w:val="el-GR"/>
        </w:rPr>
      </w:pPr>
      <w:r w:rsidRPr="00756528">
        <w:rPr>
          <w:lang w:val="el-GR"/>
        </w:rPr>
        <w:t>Δημιου</w:t>
      </w:r>
      <w:r w:rsidR="00756528">
        <w:rPr>
          <w:lang w:val="el-GR"/>
        </w:rPr>
        <w:t xml:space="preserve">ργούν θάμβωση και οπτική όχληση σε οδηγούς, πεζούς, </w:t>
      </w:r>
      <w:r>
        <w:rPr>
          <w:lang w:val="el-GR"/>
        </w:rPr>
        <w:t>ή ακόμα και γύρω ή εντός οικιών ακόμα και υπερυψωμένων πάνω από το ύψος τοποθέτησης του φωτισμού.</w:t>
      </w:r>
    </w:p>
    <w:p w:rsidR="00B552A7" w:rsidRPr="005B2455" w:rsidRDefault="005B2455">
      <w:pPr>
        <w:pStyle w:val="Compact"/>
        <w:numPr>
          <w:ilvl w:val="0"/>
          <w:numId w:val="2"/>
        </w:numPr>
        <w:rPr>
          <w:lang w:val="el-GR"/>
        </w:rPr>
      </w:pPr>
      <w:r w:rsidRPr="005B2455">
        <w:rPr>
          <w:lang w:val="el-GR"/>
        </w:rPr>
        <w:t xml:space="preserve">Συμβάλλουν σημαντικά στη φωτορύπανση με </w:t>
      </w:r>
      <w:r>
        <w:rPr>
          <w:lang w:val="el-GR"/>
        </w:rPr>
        <w:t>ότι ιατρικές, επιστημονικές, αισθητικές συνέπειες έχει αυτή.</w:t>
      </w:r>
    </w:p>
    <w:p w:rsidR="00B552A7" w:rsidRPr="00756528" w:rsidRDefault="005B2455">
      <w:pPr>
        <w:pStyle w:val="Compact"/>
        <w:numPr>
          <w:ilvl w:val="0"/>
          <w:numId w:val="2"/>
        </w:numPr>
        <w:rPr>
          <w:lang w:val="el-GR"/>
        </w:rPr>
      </w:pPr>
      <w:r w:rsidRPr="00756528">
        <w:rPr>
          <w:lang w:val="el-GR"/>
        </w:rPr>
        <w:t>Εμποδίζουν την παρατήρηση του ουρανού και την αστρονομική δραστηριότητα,</w:t>
      </w:r>
    </w:p>
    <w:p w:rsidR="00756528" w:rsidRPr="00756528" w:rsidRDefault="005B2455" w:rsidP="001254CD">
      <w:pPr>
        <w:pStyle w:val="Compact"/>
        <w:numPr>
          <w:ilvl w:val="0"/>
          <w:numId w:val="2"/>
        </w:numPr>
        <w:rPr>
          <w:lang w:val="el-GR"/>
        </w:rPr>
      </w:pPr>
      <w:r w:rsidRPr="00756528">
        <w:rPr>
          <w:lang w:val="el-GR"/>
        </w:rPr>
        <w:t>Αντίκεινται στις βασικές αρχές ενεργειακής αποδοτικότητας, οδη</w:t>
      </w:r>
      <w:r w:rsidR="00756528" w:rsidRPr="00756528">
        <w:rPr>
          <w:lang w:val="el-GR"/>
        </w:rPr>
        <w:t>γώντας σε δημόσια σπατάλη πόρων, καθώς όχι μόνο παραμένουν ανοικτά για όλη την διάρκεια της νύχτας αλλά δεν προβλέπεται ούτε η σταδιακή μείωση της φωτεινότητας πέραν κάποιας ώρας.</w:t>
      </w:r>
    </w:p>
    <w:p w:rsidR="00B552A7" w:rsidRPr="00756528" w:rsidRDefault="005B2455">
      <w:pPr>
        <w:pStyle w:val="FirstParagraph"/>
        <w:rPr>
          <w:lang w:val="el-GR"/>
        </w:rPr>
      </w:pPr>
      <w:r w:rsidRPr="00756528">
        <w:rPr>
          <w:lang w:val="el-GR"/>
        </w:rPr>
        <w:t>Σας υπενθυμίζω πως:</w:t>
      </w:r>
    </w:p>
    <w:p w:rsidR="00B552A7" w:rsidRPr="00756528" w:rsidRDefault="005B2455">
      <w:pPr>
        <w:pStyle w:val="Heading3"/>
        <w:rPr>
          <w:lang w:val="el-GR"/>
        </w:rPr>
      </w:pPr>
      <w:bookmarkStart w:id="0" w:name="νομοθετικό-και-κανονιστικό-πλαίσιο"/>
      <w:r w:rsidRPr="00756528">
        <w:rPr>
          <w:lang w:val="el-GR"/>
        </w:rPr>
        <w:t>Νομοθετικό και Κανονιστικό Πλαίσιο:</w:t>
      </w:r>
    </w:p>
    <w:p w:rsidR="00B552A7" w:rsidRPr="00756528" w:rsidRDefault="005B2455">
      <w:pPr>
        <w:numPr>
          <w:ilvl w:val="0"/>
          <w:numId w:val="3"/>
        </w:numPr>
        <w:rPr>
          <w:lang w:val="el-GR"/>
        </w:rPr>
      </w:pPr>
      <w:r w:rsidRPr="00756528">
        <w:rPr>
          <w:b/>
          <w:bCs/>
          <w:lang w:val="el-GR"/>
        </w:rPr>
        <w:t>Άρθρο 36 Κώδικα Οδικής Κυκλοφορίας (Ν.2696/1999, ΦΕΚ 57/Α/23-3-1999)</w:t>
      </w:r>
      <w:r w:rsidRPr="00756528">
        <w:rPr>
          <w:lang w:val="el-GR"/>
        </w:rPr>
        <w:t>:</w:t>
      </w:r>
      <w:r w:rsidRPr="00756528">
        <w:rPr>
          <w:lang w:val="el-GR"/>
        </w:rPr>
        <w:br/>
        <w:t>Ορίζει ρητά ότι ο φωτισμός δεν πρέπει να προκαλεί θάμβωση στους χρήστες της οδού.</w:t>
      </w:r>
      <w:r w:rsidRPr="00756528">
        <w:rPr>
          <w:lang w:val="el-GR"/>
        </w:rPr>
        <w:br/>
        <w:t xml:space="preserve">Πηγή: </w:t>
      </w:r>
      <w:r>
        <w:t>https</w:t>
      </w:r>
      <w:r w:rsidRPr="00756528">
        <w:rPr>
          <w:lang w:val="el-GR"/>
        </w:rPr>
        <w:t>://</w:t>
      </w:r>
      <w:r>
        <w:t>www</w:t>
      </w:r>
      <w:r w:rsidRPr="00756528">
        <w:rPr>
          <w:lang w:val="el-GR"/>
        </w:rPr>
        <w:t>.</w:t>
      </w:r>
      <w:r>
        <w:t>e</w:t>
      </w:r>
      <w:r w:rsidRPr="00756528">
        <w:rPr>
          <w:lang w:val="el-GR"/>
        </w:rPr>
        <w:t>-</w:t>
      </w:r>
      <w:proofErr w:type="spellStart"/>
      <w:r>
        <w:t>nomothesia</w:t>
      </w:r>
      <w:proofErr w:type="spellEnd"/>
      <w:r w:rsidRPr="00756528">
        <w:rPr>
          <w:lang w:val="el-GR"/>
        </w:rPr>
        <w:t>.</w:t>
      </w:r>
      <w:r>
        <w:t>gr</w:t>
      </w:r>
      <w:r w:rsidRPr="00756528">
        <w:rPr>
          <w:lang w:val="el-GR"/>
        </w:rPr>
        <w:t>/</w:t>
      </w:r>
      <w:proofErr w:type="spellStart"/>
      <w:r>
        <w:t>kat</w:t>
      </w:r>
      <w:proofErr w:type="spellEnd"/>
      <w:r w:rsidRPr="00756528">
        <w:rPr>
          <w:lang w:val="el-GR"/>
        </w:rPr>
        <w:t>-</w:t>
      </w:r>
      <w:proofErr w:type="spellStart"/>
      <w:r>
        <w:t>kuklophoria</w:t>
      </w:r>
      <w:proofErr w:type="spellEnd"/>
      <w:r w:rsidRPr="00756528">
        <w:rPr>
          <w:lang w:val="el-GR"/>
        </w:rPr>
        <w:t>-</w:t>
      </w:r>
      <w:proofErr w:type="spellStart"/>
      <w:r>
        <w:t>ochimaton</w:t>
      </w:r>
      <w:proofErr w:type="spellEnd"/>
      <w:r w:rsidRPr="00756528">
        <w:rPr>
          <w:lang w:val="el-GR"/>
        </w:rPr>
        <w:t>/</w:t>
      </w:r>
      <w:proofErr w:type="spellStart"/>
      <w:r>
        <w:t>kodikas</w:t>
      </w:r>
      <w:proofErr w:type="spellEnd"/>
      <w:r w:rsidRPr="00756528">
        <w:rPr>
          <w:lang w:val="el-GR"/>
        </w:rPr>
        <w:t>-</w:t>
      </w:r>
      <w:proofErr w:type="spellStart"/>
      <w:r>
        <w:t>odikes</w:t>
      </w:r>
      <w:proofErr w:type="spellEnd"/>
      <w:r w:rsidRPr="00756528">
        <w:rPr>
          <w:lang w:val="el-GR"/>
        </w:rPr>
        <w:t>-</w:t>
      </w:r>
      <w:proofErr w:type="spellStart"/>
      <w:r>
        <w:t>kuklophorias</w:t>
      </w:r>
      <w:proofErr w:type="spellEnd"/>
      <w:r w:rsidRPr="00756528">
        <w:rPr>
          <w:lang w:val="el-GR"/>
        </w:rPr>
        <w:t>.</w:t>
      </w:r>
      <w:r>
        <w:t>html</w:t>
      </w:r>
    </w:p>
    <w:p w:rsidR="00B552A7" w:rsidRPr="00756528" w:rsidRDefault="005B2455">
      <w:pPr>
        <w:numPr>
          <w:ilvl w:val="0"/>
          <w:numId w:val="3"/>
        </w:numPr>
        <w:rPr>
          <w:lang w:val="el-GR"/>
        </w:rPr>
      </w:pPr>
      <w:r w:rsidRPr="00756528">
        <w:rPr>
          <w:b/>
          <w:bCs/>
          <w:lang w:val="el-GR"/>
        </w:rPr>
        <w:t>Εθνική Τεχνική Προδιαγραφή ΕΛΟΤ ΤΠ 1501-07-03-01-00</w:t>
      </w:r>
      <w:r w:rsidRPr="00756528">
        <w:rPr>
          <w:lang w:val="el-GR"/>
        </w:rPr>
        <w:t>:</w:t>
      </w:r>
      <w:r w:rsidRPr="00756528">
        <w:rPr>
          <w:lang w:val="el-GR"/>
        </w:rPr>
        <w:br/>
        <w:t>Αναφέρεται σε τεχνικά χαρακτηριστικά για τον εξωτερικό φωτισμό οδών και δημοσίων χώρων, συμπεριλαμβανομένων των γωνιών ανύψωσης και περιορισμού ανώφελης διαρροής φωτός.</w:t>
      </w:r>
    </w:p>
    <w:p w:rsidR="00B552A7" w:rsidRPr="00756528" w:rsidRDefault="005B2455">
      <w:pPr>
        <w:numPr>
          <w:ilvl w:val="0"/>
          <w:numId w:val="3"/>
        </w:numPr>
        <w:rPr>
          <w:lang w:val="el-GR"/>
        </w:rPr>
      </w:pPr>
      <w:r w:rsidRPr="00756528">
        <w:rPr>
          <w:b/>
          <w:bCs/>
          <w:lang w:val="el-GR"/>
        </w:rPr>
        <w:t xml:space="preserve">Οδηγία της Διεθνούς Επιτροπής Φωτισμού </w:t>
      </w:r>
      <w:r>
        <w:rPr>
          <w:b/>
          <w:bCs/>
        </w:rPr>
        <w:t>CIE</w:t>
      </w:r>
      <w:r w:rsidRPr="00756528">
        <w:rPr>
          <w:b/>
          <w:bCs/>
          <w:lang w:val="el-GR"/>
        </w:rPr>
        <w:t xml:space="preserve"> 150:2017 – “</w:t>
      </w:r>
      <w:r>
        <w:rPr>
          <w:b/>
          <w:bCs/>
        </w:rPr>
        <w:t>Guide</w:t>
      </w:r>
      <w:r w:rsidRPr="00756528">
        <w:rPr>
          <w:b/>
          <w:bCs/>
          <w:lang w:val="el-GR"/>
        </w:rPr>
        <w:t xml:space="preserve"> </w:t>
      </w:r>
      <w:r>
        <w:rPr>
          <w:b/>
          <w:bCs/>
        </w:rPr>
        <w:t>on</w:t>
      </w:r>
      <w:r w:rsidRPr="00756528">
        <w:rPr>
          <w:b/>
          <w:bCs/>
          <w:lang w:val="el-GR"/>
        </w:rPr>
        <w:t xml:space="preserve"> </w:t>
      </w:r>
      <w:r>
        <w:rPr>
          <w:b/>
          <w:bCs/>
        </w:rPr>
        <w:t>the</w:t>
      </w:r>
      <w:r w:rsidRPr="00756528">
        <w:rPr>
          <w:b/>
          <w:bCs/>
          <w:lang w:val="el-GR"/>
        </w:rPr>
        <w:t xml:space="preserve"> </w:t>
      </w:r>
      <w:r>
        <w:rPr>
          <w:b/>
          <w:bCs/>
        </w:rPr>
        <w:t>Limitation</w:t>
      </w:r>
      <w:r w:rsidRPr="00756528">
        <w:rPr>
          <w:b/>
          <w:bCs/>
          <w:lang w:val="el-GR"/>
        </w:rPr>
        <w:t xml:space="preserve"> </w:t>
      </w:r>
      <w:r>
        <w:rPr>
          <w:b/>
          <w:bCs/>
        </w:rPr>
        <w:t>of</w:t>
      </w:r>
      <w:r w:rsidRPr="00756528">
        <w:rPr>
          <w:b/>
          <w:bCs/>
          <w:lang w:val="el-GR"/>
        </w:rPr>
        <w:t xml:space="preserve"> </w:t>
      </w:r>
      <w:r>
        <w:rPr>
          <w:b/>
          <w:bCs/>
        </w:rPr>
        <w:t>the</w:t>
      </w:r>
      <w:r w:rsidRPr="00756528">
        <w:rPr>
          <w:b/>
          <w:bCs/>
          <w:lang w:val="el-GR"/>
        </w:rPr>
        <w:t xml:space="preserve"> </w:t>
      </w:r>
      <w:r>
        <w:rPr>
          <w:b/>
          <w:bCs/>
        </w:rPr>
        <w:t>Effects</w:t>
      </w:r>
      <w:r w:rsidRPr="00756528">
        <w:rPr>
          <w:b/>
          <w:bCs/>
          <w:lang w:val="el-GR"/>
        </w:rPr>
        <w:t xml:space="preserve"> </w:t>
      </w:r>
      <w:r>
        <w:rPr>
          <w:b/>
          <w:bCs/>
        </w:rPr>
        <w:t>of</w:t>
      </w:r>
      <w:r w:rsidRPr="00756528">
        <w:rPr>
          <w:b/>
          <w:bCs/>
          <w:lang w:val="el-GR"/>
        </w:rPr>
        <w:t xml:space="preserve"> </w:t>
      </w:r>
      <w:r>
        <w:rPr>
          <w:b/>
          <w:bCs/>
        </w:rPr>
        <w:t>Obtrusive</w:t>
      </w:r>
      <w:r w:rsidRPr="00756528">
        <w:rPr>
          <w:b/>
          <w:bCs/>
          <w:lang w:val="el-GR"/>
        </w:rPr>
        <w:t xml:space="preserve"> </w:t>
      </w:r>
      <w:r>
        <w:rPr>
          <w:b/>
          <w:bCs/>
        </w:rPr>
        <w:t>Light</w:t>
      </w:r>
      <w:r w:rsidRPr="00756528">
        <w:rPr>
          <w:b/>
          <w:bCs/>
          <w:lang w:val="el-GR"/>
        </w:rPr>
        <w:t xml:space="preserve"> </w:t>
      </w:r>
      <w:r>
        <w:rPr>
          <w:b/>
          <w:bCs/>
        </w:rPr>
        <w:t>from</w:t>
      </w:r>
      <w:r w:rsidRPr="00756528">
        <w:rPr>
          <w:b/>
          <w:bCs/>
          <w:lang w:val="el-GR"/>
        </w:rPr>
        <w:t xml:space="preserve"> </w:t>
      </w:r>
      <w:r>
        <w:rPr>
          <w:b/>
          <w:bCs/>
        </w:rPr>
        <w:t>Outdoor</w:t>
      </w:r>
      <w:r w:rsidRPr="00756528">
        <w:rPr>
          <w:b/>
          <w:bCs/>
          <w:lang w:val="el-GR"/>
        </w:rPr>
        <w:t xml:space="preserve"> </w:t>
      </w:r>
      <w:r>
        <w:rPr>
          <w:b/>
          <w:bCs/>
        </w:rPr>
        <w:t>Lighting</w:t>
      </w:r>
      <w:r w:rsidRPr="00756528">
        <w:rPr>
          <w:b/>
          <w:bCs/>
          <w:lang w:val="el-GR"/>
        </w:rPr>
        <w:t xml:space="preserve"> </w:t>
      </w:r>
      <w:r>
        <w:rPr>
          <w:b/>
          <w:bCs/>
        </w:rPr>
        <w:lastRenderedPageBreak/>
        <w:t>Installations</w:t>
      </w:r>
      <w:r w:rsidRPr="00756528">
        <w:rPr>
          <w:b/>
          <w:bCs/>
          <w:lang w:val="el-GR"/>
        </w:rPr>
        <w:t>”</w:t>
      </w:r>
      <w:r w:rsidRPr="00756528">
        <w:rPr>
          <w:lang w:val="el-GR"/>
        </w:rPr>
        <w:t>:</w:t>
      </w:r>
      <w:r w:rsidRPr="00756528">
        <w:rPr>
          <w:lang w:val="el-GR"/>
        </w:rPr>
        <w:br/>
        <w:t>Προτείνει όρια για το ποσοστό φωτεινής ροής που διαρρέει πάνω από τον ορίζοντα, το οποίο πρέπει να είναι &lt;1% για κατοικημένες περιοχές.</w:t>
      </w:r>
      <w:r w:rsidRPr="00756528">
        <w:rPr>
          <w:lang w:val="el-GR"/>
        </w:rPr>
        <w:br/>
        <w:t xml:space="preserve">Πηγή: </w:t>
      </w:r>
      <w:r>
        <w:t>https</w:t>
      </w:r>
      <w:r w:rsidRPr="00756528">
        <w:rPr>
          <w:lang w:val="el-GR"/>
        </w:rPr>
        <w:t>://</w:t>
      </w:r>
      <w:proofErr w:type="spellStart"/>
      <w:r>
        <w:t>cie</w:t>
      </w:r>
      <w:proofErr w:type="spellEnd"/>
      <w:r w:rsidRPr="00756528">
        <w:rPr>
          <w:lang w:val="el-GR"/>
        </w:rPr>
        <w:t>.</w:t>
      </w:r>
      <w:r>
        <w:t>co</w:t>
      </w:r>
      <w:r w:rsidRPr="00756528">
        <w:rPr>
          <w:lang w:val="el-GR"/>
        </w:rPr>
        <w:t>.</w:t>
      </w:r>
      <w:r>
        <w:t>at</w:t>
      </w:r>
      <w:r w:rsidRPr="00756528">
        <w:rPr>
          <w:lang w:val="el-GR"/>
        </w:rPr>
        <w:t>/</w:t>
      </w:r>
      <w:r>
        <w:t>publications</w:t>
      </w:r>
      <w:r w:rsidRPr="00756528">
        <w:rPr>
          <w:lang w:val="el-GR"/>
        </w:rPr>
        <w:t>/</w:t>
      </w:r>
      <w:r>
        <w:t>guide</w:t>
      </w:r>
      <w:r w:rsidRPr="00756528">
        <w:rPr>
          <w:lang w:val="el-GR"/>
        </w:rPr>
        <w:t>-</w:t>
      </w:r>
      <w:r>
        <w:t>limitation</w:t>
      </w:r>
      <w:r w:rsidRPr="00756528">
        <w:rPr>
          <w:lang w:val="el-GR"/>
        </w:rPr>
        <w:t>-</w:t>
      </w:r>
      <w:r>
        <w:t>effects</w:t>
      </w:r>
      <w:r w:rsidRPr="00756528">
        <w:rPr>
          <w:lang w:val="el-GR"/>
        </w:rPr>
        <w:t>-</w:t>
      </w:r>
      <w:r>
        <w:t>obtrusive</w:t>
      </w:r>
      <w:r w:rsidRPr="00756528">
        <w:rPr>
          <w:lang w:val="el-GR"/>
        </w:rPr>
        <w:t>-</w:t>
      </w:r>
      <w:r>
        <w:t>light</w:t>
      </w:r>
      <w:r w:rsidRPr="00756528">
        <w:rPr>
          <w:lang w:val="el-GR"/>
        </w:rPr>
        <w:t>-</w:t>
      </w:r>
      <w:r>
        <w:t>outdoor</w:t>
      </w:r>
      <w:r w:rsidRPr="00756528">
        <w:rPr>
          <w:lang w:val="el-GR"/>
        </w:rPr>
        <w:t>-</w:t>
      </w:r>
      <w:r>
        <w:t>lighting</w:t>
      </w:r>
      <w:r w:rsidRPr="00756528">
        <w:rPr>
          <w:lang w:val="el-GR"/>
        </w:rPr>
        <w:t>-</w:t>
      </w:r>
      <w:r>
        <w:t>installations</w:t>
      </w:r>
      <w:r w:rsidRPr="00756528">
        <w:rPr>
          <w:lang w:val="el-GR"/>
        </w:rPr>
        <w:t>-2</w:t>
      </w:r>
      <w:proofErr w:type="spellStart"/>
      <w:r>
        <w:t>nd</w:t>
      </w:r>
      <w:proofErr w:type="spellEnd"/>
      <w:r w:rsidRPr="00756528">
        <w:rPr>
          <w:lang w:val="el-GR"/>
        </w:rPr>
        <w:t>-</w:t>
      </w:r>
      <w:r>
        <w:t>edition</w:t>
      </w:r>
    </w:p>
    <w:p w:rsidR="00B552A7" w:rsidRPr="00756528" w:rsidRDefault="005B2455">
      <w:pPr>
        <w:numPr>
          <w:ilvl w:val="0"/>
          <w:numId w:val="3"/>
        </w:numPr>
        <w:rPr>
          <w:lang w:val="el-GR"/>
        </w:rPr>
      </w:pPr>
      <w:r w:rsidRPr="00756528">
        <w:rPr>
          <w:b/>
          <w:bCs/>
          <w:lang w:val="el-GR"/>
        </w:rPr>
        <w:t>Κανονισμός Ενεργειακής Απόδοσης Κτιρίων (ΚΕΝΑΚ)</w:t>
      </w:r>
      <w:r w:rsidRPr="00756528">
        <w:rPr>
          <w:lang w:val="el-GR"/>
        </w:rPr>
        <w:t xml:space="preserve"> και συνοδευτικές Τεχνικές Οδηγίες ΤΕΕ:</w:t>
      </w:r>
      <w:r w:rsidRPr="00756528">
        <w:rPr>
          <w:lang w:val="el-GR"/>
        </w:rPr>
        <w:br/>
        <w:t>Καθορίζουν υποχρεώσεις για εξωτερικό φωτισμό σε δημόσιους χώρους, σχετικά με την κατεύθυνση και την ένταση της φωτεινής ροής.</w:t>
      </w:r>
      <w:r w:rsidRPr="00756528">
        <w:rPr>
          <w:lang w:val="el-GR"/>
        </w:rPr>
        <w:br/>
        <w:t xml:space="preserve">Πηγή: </w:t>
      </w:r>
      <w:r>
        <w:t>https</w:t>
      </w:r>
      <w:r w:rsidRPr="00756528">
        <w:rPr>
          <w:lang w:val="el-GR"/>
        </w:rPr>
        <w:t>://</w:t>
      </w:r>
      <w:r>
        <w:t>www</w:t>
      </w:r>
      <w:r w:rsidRPr="00756528">
        <w:rPr>
          <w:lang w:val="el-GR"/>
        </w:rPr>
        <w:t>.</w:t>
      </w:r>
      <w:proofErr w:type="spellStart"/>
      <w:r>
        <w:t>ypeka</w:t>
      </w:r>
      <w:proofErr w:type="spellEnd"/>
      <w:r w:rsidRPr="00756528">
        <w:rPr>
          <w:lang w:val="el-GR"/>
        </w:rPr>
        <w:t>.</w:t>
      </w:r>
      <w:r>
        <w:t>gr</w:t>
      </w:r>
      <w:r w:rsidRPr="00756528">
        <w:rPr>
          <w:lang w:val="el-GR"/>
        </w:rPr>
        <w:t>/</w:t>
      </w:r>
      <w:r>
        <w:t>Default</w:t>
      </w:r>
      <w:r w:rsidRPr="00756528">
        <w:rPr>
          <w:lang w:val="el-GR"/>
        </w:rPr>
        <w:t>.</w:t>
      </w:r>
      <w:proofErr w:type="spellStart"/>
      <w:r>
        <w:t>aspx</w:t>
      </w:r>
      <w:proofErr w:type="spellEnd"/>
      <w:r w:rsidRPr="00756528">
        <w:rPr>
          <w:lang w:val="el-GR"/>
        </w:rPr>
        <w:t>?</w:t>
      </w:r>
      <w:proofErr w:type="spellStart"/>
      <w:r>
        <w:t>tabid</w:t>
      </w:r>
      <w:proofErr w:type="spellEnd"/>
      <w:r w:rsidRPr="00756528">
        <w:rPr>
          <w:lang w:val="el-GR"/>
        </w:rPr>
        <w:t>=765&amp;</w:t>
      </w:r>
      <w:r>
        <w:t>language</w:t>
      </w:r>
      <w:r w:rsidRPr="00756528">
        <w:rPr>
          <w:lang w:val="el-GR"/>
        </w:rPr>
        <w:t>=</w:t>
      </w:r>
      <w:r>
        <w:t>el</w:t>
      </w:r>
      <w:r w:rsidRPr="00756528">
        <w:rPr>
          <w:lang w:val="el-GR"/>
        </w:rPr>
        <w:t>-</w:t>
      </w:r>
      <w:r>
        <w:t>GR</w:t>
      </w:r>
    </w:p>
    <w:p w:rsidR="00B552A7" w:rsidRPr="00756528" w:rsidRDefault="005B2455">
      <w:pPr>
        <w:numPr>
          <w:ilvl w:val="0"/>
          <w:numId w:val="3"/>
        </w:numPr>
        <w:rPr>
          <w:lang w:val="el-GR"/>
        </w:rPr>
      </w:pPr>
      <w:r w:rsidRPr="00756528">
        <w:rPr>
          <w:b/>
          <w:bCs/>
          <w:lang w:val="el-GR"/>
        </w:rPr>
        <w:t xml:space="preserve">Ευρωπαϊκό Πρότυπο </w:t>
      </w:r>
      <w:r>
        <w:rPr>
          <w:b/>
          <w:bCs/>
        </w:rPr>
        <w:t>EN</w:t>
      </w:r>
      <w:r w:rsidRPr="00756528">
        <w:rPr>
          <w:b/>
          <w:bCs/>
          <w:lang w:val="el-GR"/>
        </w:rPr>
        <w:t xml:space="preserve"> 13201-2:2015</w:t>
      </w:r>
      <w:r w:rsidRPr="00756528">
        <w:rPr>
          <w:lang w:val="el-GR"/>
        </w:rPr>
        <w:t xml:space="preserve"> – “Οδικός φωτισμός – Μέρος 2: Απαιτήσεις Απόδοσης”:</w:t>
      </w:r>
      <w:r w:rsidRPr="00756528">
        <w:rPr>
          <w:lang w:val="el-GR"/>
        </w:rPr>
        <w:br/>
        <w:t>Περιγράφει την ανάγκη για περιορισμό θάμβωσης (</w:t>
      </w:r>
      <w:r>
        <w:t>G</w:t>
      </w:r>
      <w:r w:rsidRPr="00756528">
        <w:rPr>
          <w:lang w:val="el-GR"/>
        </w:rPr>
        <w:t>-</w:t>
      </w:r>
      <w:r>
        <w:t>classes</w:t>
      </w:r>
      <w:r w:rsidRPr="00756528">
        <w:rPr>
          <w:lang w:val="el-GR"/>
        </w:rPr>
        <w:t>), και ελαχιστοποίηση της εκπομπής φωτός προς τον ουρανό.</w:t>
      </w:r>
    </w:p>
    <w:p w:rsidR="00B552A7" w:rsidRPr="00756528" w:rsidRDefault="005B2455">
      <w:pPr>
        <w:numPr>
          <w:ilvl w:val="0"/>
          <w:numId w:val="3"/>
        </w:numPr>
        <w:rPr>
          <w:lang w:val="el-GR"/>
        </w:rPr>
      </w:pPr>
      <w:r w:rsidRPr="00756528">
        <w:rPr>
          <w:b/>
          <w:bCs/>
          <w:lang w:val="el-GR"/>
        </w:rPr>
        <w:t>Σύσταση της Επιτροπής της Ευρωπαϊκής Ένωσης (2008/50/</w:t>
      </w:r>
      <w:r>
        <w:rPr>
          <w:b/>
          <w:bCs/>
        </w:rPr>
        <w:t>EC</w:t>
      </w:r>
      <w:r w:rsidRPr="00756528">
        <w:rPr>
          <w:b/>
          <w:bCs/>
          <w:lang w:val="el-GR"/>
        </w:rPr>
        <w:t>)</w:t>
      </w:r>
      <w:r w:rsidRPr="00756528">
        <w:rPr>
          <w:lang w:val="el-GR"/>
        </w:rPr>
        <w:t xml:space="preserve"> για την ατμοσφαιρική ρύπανση, όπου αναγνωρίζεται η φωτορύπανση ως περιβαλλοντική επιβάρυνση.</w:t>
      </w:r>
    </w:p>
    <w:p w:rsidR="00B552A7" w:rsidRDefault="005B2455">
      <w:pPr>
        <w:numPr>
          <w:ilvl w:val="0"/>
          <w:numId w:val="3"/>
        </w:numPr>
        <w:rPr>
          <w:lang w:val="el-GR"/>
        </w:rPr>
      </w:pPr>
      <w:r w:rsidRPr="00756528">
        <w:rPr>
          <w:b/>
          <w:bCs/>
          <w:lang w:val="el-GR"/>
        </w:rPr>
        <w:t>Σχέδιο Πράσινης Συμφωνίας της ΕΕ (</w:t>
      </w:r>
      <w:r>
        <w:rPr>
          <w:b/>
          <w:bCs/>
        </w:rPr>
        <w:t>EU</w:t>
      </w:r>
      <w:r w:rsidRPr="00756528">
        <w:rPr>
          <w:b/>
          <w:bCs/>
          <w:lang w:val="el-GR"/>
        </w:rPr>
        <w:t xml:space="preserve"> </w:t>
      </w:r>
      <w:r>
        <w:rPr>
          <w:b/>
          <w:bCs/>
        </w:rPr>
        <w:t>Green</w:t>
      </w:r>
      <w:r w:rsidRPr="00756528">
        <w:rPr>
          <w:b/>
          <w:bCs/>
          <w:lang w:val="el-GR"/>
        </w:rPr>
        <w:t xml:space="preserve"> </w:t>
      </w:r>
      <w:r>
        <w:rPr>
          <w:b/>
          <w:bCs/>
        </w:rPr>
        <w:t>Deal</w:t>
      </w:r>
      <w:r w:rsidRPr="00756528">
        <w:rPr>
          <w:b/>
          <w:bCs/>
          <w:lang w:val="el-GR"/>
        </w:rPr>
        <w:t>)</w:t>
      </w:r>
      <w:r w:rsidRPr="00756528">
        <w:rPr>
          <w:lang w:val="el-GR"/>
        </w:rPr>
        <w:t xml:space="preserve"> και εθνικές πολιτικές για περιορισμό εκπομπών και περιβαλλοντικής ρύπανσης, στις οποίες εντάσσεται και η ρύπανση από φως.</w:t>
      </w:r>
    </w:p>
    <w:p w:rsidR="00A4799C" w:rsidRPr="00756528" w:rsidRDefault="00A4799C" w:rsidP="00A4799C">
      <w:pPr>
        <w:ind w:left="720"/>
        <w:rPr>
          <w:lang w:val="el-GR"/>
        </w:rPr>
      </w:pPr>
    </w:p>
    <w:p w:rsidR="00B552A7" w:rsidRPr="00756528" w:rsidRDefault="005B2455">
      <w:pPr>
        <w:pStyle w:val="FirstParagraph"/>
        <w:rPr>
          <w:lang w:val="el-GR"/>
        </w:rPr>
      </w:pPr>
      <w:r w:rsidRPr="00756528">
        <w:rPr>
          <w:lang w:val="el-GR"/>
        </w:rPr>
        <w:t xml:space="preserve">Καθώς η ως άνω κατάσταση παραβιάζει ευθέως τις εθνικές και ευρωπαϊκές οδηγίες, </w:t>
      </w:r>
      <w:r>
        <w:rPr>
          <w:lang w:val="el-GR"/>
        </w:rPr>
        <w:t xml:space="preserve">και πέρα από τις </w:t>
      </w:r>
      <w:r w:rsidR="00E62DCC" w:rsidRPr="00E62DCC">
        <w:rPr>
          <w:b/>
          <w:lang w:val="el-GR"/>
        </w:rPr>
        <w:t xml:space="preserve">διαπιστωμένες </w:t>
      </w:r>
      <w:r w:rsidRPr="00E62DCC">
        <w:rPr>
          <w:b/>
          <w:lang w:val="el-GR"/>
        </w:rPr>
        <w:t>ιατρικές επιπτώσεις στον άνθρωπο τα ζώα και τα φυτά</w:t>
      </w:r>
      <w:r>
        <w:rPr>
          <w:lang w:val="el-GR"/>
        </w:rPr>
        <w:t xml:space="preserve">, </w:t>
      </w:r>
      <w:r w:rsidRPr="00756528">
        <w:rPr>
          <w:lang w:val="el-GR"/>
        </w:rPr>
        <w:t>συνιστά</w:t>
      </w:r>
      <w:r w:rsidR="00E62DCC">
        <w:rPr>
          <w:lang w:val="el-GR"/>
        </w:rPr>
        <w:t xml:space="preserve"> </w:t>
      </w:r>
      <w:r w:rsidR="00E62DCC" w:rsidRPr="00E62DCC">
        <w:rPr>
          <w:b/>
          <w:lang w:val="el-GR"/>
        </w:rPr>
        <w:t>άμεσο</w:t>
      </w:r>
      <w:r w:rsidRPr="00E62DCC">
        <w:rPr>
          <w:b/>
          <w:lang w:val="el-GR"/>
        </w:rPr>
        <w:t xml:space="preserve"> κίνδυνο για την ασφάλεια των οδηγών και πολιτών (θάμβωση)</w:t>
      </w:r>
      <w:r w:rsidR="00E62DCC">
        <w:rPr>
          <w:lang w:val="el-GR"/>
        </w:rPr>
        <w:t xml:space="preserve">, αλλά και </w:t>
      </w:r>
      <w:r w:rsidR="00E62DCC" w:rsidRPr="00E62DCC">
        <w:rPr>
          <w:b/>
          <w:lang w:val="el-GR"/>
        </w:rPr>
        <w:t>υποβάθμιση της αισθητικής εικόνας της περιοχής</w:t>
      </w:r>
      <w:r w:rsidRPr="00756528">
        <w:rPr>
          <w:lang w:val="el-GR"/>
        </w:rPr>
        <w:t>, σας καλώ όπως:</w:t>
      </w:r>
    </w:p>
    <w:p w:rsidR="00B552A7" w:rsidRPr="00756528" w:rsidRDefault="005B2455">
      <w:pPr>
        <w:pStyle w:val="Compact"/>
        <w:numPr>
          <w:ilvl w:val="0"/>
          <w:numId w:val="4"/>
        </w:numPr>
        <w:rPr>
          <w:lang w:val="el-GR"/>
        </w:rPr>
      </w:pPr>
      <w:r w:rsidRPr="00756528">
        <w:rPr>
          <w:lang w:val="el-GR"/>
        </w:rPr>
        <w:t>Ελέγξετε άμεσα τη νομιμότητα και συμβατότητα των φωτιστικών σωμάτων με τα παραπάνω πρότυπα.</w:t>
      </w:r>
    </w:p>
    <w:p w:rsidR="00B552A7" w:rsidRPr="00756528" w:rsidRDefault="005B2455">
      <w:pPr>
        <w:pStyle w:val="Compact"/>
        <w:numPr>
          <w:ilvl w:val="0"/>
          <w:numId w:val="4"/>
        </w:numPr>
        <w:rPr>
          <w:lang w:val="el-GR"/>
        </w:rPr>
      </w:pPr>
      <w:r w:rsidRPr="00756528">
        <w:rPr>
          <w:lang w:val="el-GR"/>
        </w:rPr>
        <w:t xml:space="preserve">Προχωρήσετε σε </w:t>
      </w:r>
      <w:r w:rsidRPr="00756528">
        <w:rPr>
          <w:b/>
          <w:bCs/>
          <w:lang w:val="el-GR"/>
        </w:rPr>
        <w:t>αντικατάσταση ή αναπροσαρμογή φωτιστικών σωμάτων</w:t>
      </w:r>
      <w:r w:rsidRPr="00756528">
        <w:rPr>
          <w:lang w:val="el-GR"/>
        </w:rPr>
        <w:t xml:space="preserve"> ώστε να εξαλείφεται πλήρως η εκπομπή π</w:t>
      </w:r>
      <w:bookmarkStart w:id="1" w:name="_GoBack"/>
      <w:bookmarkEnd w:id="1"/>
      <w:r w:rsidRPr="00756528">
        <w:rPr>
          <w:lang w:val="el-GR"/>
        </w:rPr>
        <w:t>ρος τον ουρανό και να ελαχιστοποιείται η θάμβωση και φωτορύπανση.</w:t>
      </w:r>
    </w:p>
    <w:p w:rsidR="00B552A7" w:rsidRDefault="005B2455">
      <w:pPr>
        <w:pStyle w:val="Compact"/>
        <w:numPr>
          <w:ilvl w:val="0"/>
          <w:numId w:val="4"/>
        </w:numPr>
        <w:rPr>
          <w:lang w:val="el-GR"/>
        </w:rPr>
      </w:pPr>
      <w:r w:rsidRPr="00756528">
        <w:rPr>
          <w:lang w:val="el-GR"/>
        </w:rPr>
        <w:t xml:space="preserve">Εφαρμόσετε χαμηλής θερμοκρασίας </w:t>
      </w:r>
      <w:r>
        <w:t>LED</w:t>
      </w:r>
      <w:r w:rsidRPr="00756528">
        <w:rPr>
          <w:lang w:val="el-GR"/>
        </w:rPr>
        <w:t xml:space="preserve"> (2700</w:t>
      </w:r>
      <w:r>
        <w:t>K</w:t>
      </w:r>
      <w:r w:rsidRPr="00756528">
        <w:rPr>
          <w:lang w:val="el-GR"/>
        </w:rPr>
        <w:t xml:space="preserve"> ή χαμηλότερα) και </w:t>
      </w:r>
      <w:r w:rsidRPr="00756528">
        <w:rPr>
          <w:b/>
          <w:bCs/>
          <w:lang w:val="el-GR"/>
        </w:rPr>
        <w:t>πλήρους αποκοπής φωτιστικά (</w:t>
      </w:r>
      <w:r>
        <w:rPr>
          <w:b/>
          <w:bCs/>
        </w:rPr>
        <w:t>full</w:t>
      </w:r>
      <w:r w:rsidRPr="00756528">
        <w:rPr>
          <w:b/>
          <w:bCs/>
          <w:lang w:val="el-GR"/>
        </w:rPr>
        <w:t xml:space="preserve"> </w:t>
      </w:r>
      <w:r>
        <w:rPr>
          <w:b/>
          <w:bCs/>
        </w:rPr>
        <w:t>cutoff</w:t>
      </w:r>
      <w:r w:rsidRPr="00756528">
        <w:rPr>
          <w:b/>
          <w:bCs/>
          <w:lang w:val="el-GR"/>
        </w:rPr>
        <w:t>)</w:t>
      </w:r>
      <w:r w:rsidR="00A4799C">
        <w:rPr>
          <w:lang w:val="el-GR"/>
        </w:rPr>
        <w:t xml:space="preserve"> </w:t>
      </w:r>
      <w:r w:rsidR="00A4799C" w:rsidRPr="00A4799C">
        <w:rPr>
          <w:lang w:val="el-GR"/>
        </w:rPr>
        <w:t xml:space="preserve">σύμφωνα με την τεχνική προδιαγραφή ΕΛΟΤ </w:t>
      </w:r>
      <w:r w:rsidR="00A4799C">
        <w:t>EN</w:t>
      </w:r>
      <w:r w:rsidR="00A4799C" w:rsidRPr="00A4799C">
        <w:rPr>
          <w:lang w:val="el-GR"/>
        </w:rPr>
        <w:t xml:space="preserve"> 13201-2 και τα πρότυπα της </w:t>
      </w:r>
      <w:r w:rsidR="00A4799C">
        <w:t>IDA</w:t>
      </w:r>
      <w:r w:rsidR="00A4799C" w:rsidRPr="00A4799C">
        <w:rPr>
          <w:lang w:val="el-GR"/>
        </w:rPr>
        <w:t xml:space="preserve"> (</w:t>
      </w:r>
      <w:r w:rsidR="00A4799C">
        <w:t>International</w:t>
      </w:r>
      <w:r w:rsidR="00A4799C" w:rsidRPr="00A4799C">
        <w:rPr>
          <w:lang w:val="el-GR"/>
        </w:rPr>
        <w:t xml:space="preserve"> </w:t>
      </w:r>
      <w:r w:rsidR="00A4799C">
        <w:t>Dark</w:t>
      </w:r>
      <w:r w:rsidR="00A4799C" w:rsidRPr="00A4799C">
        <w:rPr>
          <w:lang w:val="el-GR"/>
        </w:rPr>
        <w:t>-</w:t>
      </w:r>
      <w:r w:rsidR="00A4799C">
        <w:t>Sky</w:t>
      </w:r>
      <w:r w:rsidR="00A4799C" w:rsidRPr="00A4799C">
        <w:rPr>
          <w:lang w:val="el-GR"/>
        </w:rPr>
        <w:t xml:space="preserve"> </w:t>
      </w:r>
      <w:r w:rsidR="00A4799C">
        <w:t>Association</w:t>
      </w:r>
      <w:r w:rsidR="00A4799C" w:rsidRPr="00A4799C">
        <w:rPr>
          <w:lang w:val="el-GR"/>
        </w:rPr>
        <w:t>).</w:t>
      </w:r>
    </w:p>
    <w:p w:rsidR="00A4799C" w:rsidRDefault="00A4799C">
      <w:pPr>
        <w:pStyle w:val="Compact"/>
        <w:numPr>
          <w:ilvl w:val="0"/>
          <w:numId w:val="4"/>
        </w:numPr>
        <w:rPr>
          <w:lang w:val="el-GR"/>
        </w:rPr>
      </w:pPr>
      <w:r>
        <w:rPr>
          <w:lang w:val="el-GR"/>
        </w:rPr>
        <w:t>Εφαρμογή χρήσης</w:t>
      </w:r>
      <w:r w:rsidRPr="00A4799C">
        <w:rPr>
          <w:lang w:val="el-GR"/>
        </w:rPr>
        <w:t xml:space="preserve"> αισθητήρων ή μειωτών έντασης τις </w:t>
      </w:r>
      <w:r>
        <w:rPr>
          <w:lang w:val="el-GR"/>
        </w:rPr>
        <w:t xml:space="preserve">μεταμεσονύχτιες </w:t>
      </w:r>
      <w:r w:rsidRPr="00A4799C">
        <w:rPr>
          <w:lang w:val="el-GR"/>
        </w:rPr>
        <w:t>ώρες.</w:t>
      </w:r>
    </w:p>
    <w:p w:rsidR="00A4799C" w:rsidRDefault="00A4799C">
      <w:pPr>
        <w:pStyle w:val="Compact"/>
        <w:numPr>
          <w:ilvl w:val="0"/>
          <w:numId w:val="4"/>
        </w:numPr>
        <w:rPr>
          <w:lang w:val="el-GR"/>
        </w:rPr>
      </w:pPr>
      <w:r>
        <w:rPr>
          <w:lang w:val="el-GR"/>
        </w:rPr>
        <w:t>Ε</w:t>
      </w:r>
      <w:r w:rsidRPr="00A4799C">
        <w:rPr>
          <w:lang w:val="el-GR"/>
        </w:rPr>
        <w:t xml:space="preserve">φαρμογή τοπικών σκιάστρων ή ρυθμίσεων κλίσης στις υπάρχουσες εγκαταστάσεις, ώστε να αποφεύγεται η </w:t>
      </w:r>
      <w:r>
        <w:rPr>
          <w:lang w:val="el-GR"/>
        </w:rPr>
        <w:t xml:space="preserve">άσκοπη </w:t>
      </w:r>
      <w:r w:rsidRPr="00A4799C">
        <w:rPr>
          <w:lang w:val="el-GR"/>
        </w:rPr>
        <w:t>εκπομπή φωτός προς τον ουρανό.</w:t>
      </w:r>
    </w:p>
    <w:p w:rsidR="00A4799C" w:rsidRDefault="00A4799C" w:rsidP="00A4799C">
      <w:pPr>
        <w:pStyle w:val="Compact"/>
        <w:rPr>
          <w:lang w:val="el-GR"/>
        </w:rPr>
      </w:pPr>
    </w:p>
    <w:p w:rsidR="00A4799C" w:rsidRDefault="00A4799C" w:rsidP="00A4799C">
      <w:pPr>
        <w:pStyle w:val="Compact"/>
        <w:rPr>
          <w:lang w:val="el-GR"/>
        </w:rPr>
      </w:pPr>
    </w:p>
    <w:p w:rsidR="00A4799C" w:rsidRPr="00A4799C" w:rsidRDefault="00A4799C" w:rsidP="00A4799C">
      <w:pPr>
        <w:pStyle w:val="Compact"/>
        <w:rPr>
          <w:lang w:val="el-GR"/>
        </w:rPr>
      </w:pPr>
    </w:p>
    <w:p w:rsidR="00B552A7" w:rsidRPr="00756528" w:rsidRDefault="005B2455">
      <w:pPr>
        <w:pStyle w:val="FirstParagraph"/>
        <w:rPr>
          <w:lang w:val="el-GR"/>
        </w:rPr>
      </w:pPr>
      <w:r w:rsidRPr="00756528">
        <w:rPr>
          <w:lang w:val="el-GR"/>
        </w:rPr>
        <w:t>Επιφυλάσσομαι παντός νομίμου δικαιώματός μου και πρόκειται να ενημερώσω σχετικά: - Τη Διεύθυνση Περιβάλλοντος Περιφέρειας, - Την Ελληνική Αστρονομική Εταιρεία, - Το Υπουργείο Περιβάλλοντος και Ενέργειας, - Τον Συνήγορο του Πολίτη, - Τα τοπικά ΜΜΕ.</w:t>
      </w:r>
    </w:p>
    <w:p w:rsidR="00B552A7" w:rsidRPr="00756528" w:rsidRDefault="005B2455">
      <w:pPr>
        <w:pStyle w:val="BodyText"/>
        <w:rPr>
          <w:lang w:val="el-GR"/>
        </w:rPr>
      </w:pPr>
      <w:r w:rsidRPr="00756528">
        <w:rPr>
          <w:lang w:val="el-GR"/>
        </w:rPr>
        <w:t>Με τιμή,</w:t>
      </w:r>
    </w:p>
    <w:p w:rsidR="00B552A7" w:rsidRPr="00756528" w:rsidRDefault="005B2455">
      <w:pPr>
        <w:pStyle w:val="BodyText"/>
        <w:rPr>
          <w:lang w:val="el-GR"/>
        </w:rPr>
      </w:pPr>
      <w:r w:rsidRPr="00756528">
        <w:rPr>
          <w:lang w:val="el-GR"/>
        </w:rPr>
        <w:t>Ονοματεπώνυμο: ____________________</w:t>
      </w:r>
      <w:r w:rsidRPr="00756528">
        <w:rPr>
          <w:lang w:val="el-GR"/>
        </w:rPr>
        <w:br/>
        <w:t>Διεύθυνση: _________________________</w:t>
      </w:r>
      <w:r w:rsidRPr="00756528">
        <w:rPr>
          <w:lang w:val="el-GR"/>
        </w:rPr>
        <w:br/>
        <w:t xml:space="preserve">Τηλέφωνο / </w:t>
      </w:r>
      <w:r>
        <w:t>Email</w:t>
      </w:r>
      <w:r w:rsidRPr="00756528">
        <w:rPr>
          <w:lang w:val="el-GR"/>
        </w:rPr>
        <w:t>: ___________________</w:t>
      </w:r>
      <w:r w:rsidRPr="00756528">
        <w:rPr>
          <w:lang w:val="el-GR"/>
        </w:rPr>
        <w:br/>
        <w:t>Ημερομηνία: ____ / ____ / ________</w:t>
      </w:r>
      <w:bookmarkEnd w:id="0"/>
    </w:p>
    <w:sectPr w:rsidR="00B552A7" w:rsidRPr="00756528" w:rsidSect="00A4799C">
      <w:footnotePr>
        <w:numRestart w:val="eachSect"/>
      </w:footnotePr>
      <w:pgSz w:w="12240" w:h="15840"/>
      <w:pgMar w:top="720" w:right="720" w:bottom="720" w:left="720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A990"/>
    <w:multiLevelType w:val="multilevel"/>
    <w:tmpl w:val="FF16A8D4"/>
    <w:lvl w:ilvl="0">
      <w:numFmt w:val="bullet"/>
      <w:lvlText w:val=" "/>
      <w:lvlJc w:val="left"/>
      <w:pPr>
        <w:ind w:left="720" w:hanging="360"/>
      </w:pPr>
    </w:lvl>
    <w:lvl w:ilvl="1">
      <w:numFmt w:val="bullet"/>
      <w:lvlText w:val=" "/>
      <w:lvlJc w:val="left"/>
      <w:pPr>
        <w:ind w:left="1440" w:hanging="360"/>
      </w:pPr>
    </w:lvl>
    <w:lvl w:ilvl="2">
      <w:numFmt w:val="bullet"/>
      <w:lvlText w:val=" "/>
      <w:lvlJc w:val="left"/>
      <w:pPr>
        <w:ind w:left="2160" w:hanging="360"/>
      </w:pPr>
    </w:lvl>
    <w:lvl w:ilvl="3">
      <w:numFmt w:val="bullet"/>
      <w:lvlText w:val=" "/>
      <w:lvlJc w:val="left"/>
      <w:pPr>
        <w:ind w:left="2880" w:hanging="360"/>
      </w:pPr>
    </w:lvl>
    <w:lvl w:ilvl="4">
      <w:numFmt w:val="bullet"/>
      <w:lvlText w:val=" "/>
      <w:lvlJc w:val="left"/>
      <w:pPr>
        <w:ind w:left="3600" w:hanging="360"/>
      </w:pPr>
    </w:lvl>
    <w:lvl w:ilvl="5">
      <w:numFmt w:val="bullet"/>
      <w:lvlText w:val=" "/>
      <w:lvlJc w:val="left"/>
      <w:pPr>
        <w:ind w:left="4320" w:hanging="360"/>
      </w:pPr>
    </w:lvl>
    <w:lvl w:ilvl="6">
      <w:numFmt w:val="bullet"/>
      <w:lvlText w:val=" "/>
      <w:lvlJc w:val="left"/>
      <w:pPr>
        <w:ind w:left="5040" w:hanging="360"/>
      </w:pPr>
    </w:lvl>
    <w:lvl w:ilvl="7">
      <w:numFmt w:val="bullet"/>
      <w:lvlText w:val=" "/>
      <w:lvlJc w:val="left"/>
      <w:pPr>
        <w:ind w:left="5760" w:hanging="360"/>
      </w:pPr>
    </w:lvl>
    <w:lvl w:ilvl="8">
      <w:numFmt w:val="bullet"/>
      <w:lvlText w:val=" "/>
      <w:lvlJc w:val="left"/>
      <w:pPr>
        <w:ind w:left="6480" w:hanging="360"/>
      </w:pPr>
    </w:lvl>
  </w:abstractNum>
  <w:abstractNum w:abstractNumId="1" w15:restartNumberingAfterBreak="0">
    <w:nsid w:val="0000A991"/>
    <w:multiLevelType w:val="multilevel"/>
    <w:tmpl w:val="5108F2F4"/>
    <w:lvl w:ilvl="0"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0A99411"/>
    <w:multiLevelType w:val="multilevel"/>
    <w:tmpl w:val="191A70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footnotePr>
    <w:numRestart w:val="eachSect"/>
  </w:footnotePr>
  <w:compat>
    <w:compatSetting w:name="compatibilityMode" w:uri="http://schemas.microsoft.com/office/word" w:val="12"/>
  </w:compat>
  <w:rsids>
    <w:rsidRoot w:val="00B552A7"/>
    <w:rsid w:val="005B2455"/>
    <w:rsid w:val="00756528"/>
    <w:rsid w:val="00A4799C"/>
    <w:rsid w:val="00B552A7"/>
    <w:rsid w:val="00E62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E55EB1"/>
  <w15:docId w15:val="{0DE1E55A-6390-411A-B8B5-103C3B8160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1"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BodyText"/>
    <w:link w:val="Heading1Char"/>
    <w:uiPriority w:val="9"/>
    <w:qFormat/>
    <w:rsid w:val="00A10F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BodyText"/>
    <w:link w:val="Heading2Char"/>
    <w:uiPriority w:val="9"/>
    <w:semiHidden/>
    <w:unhideWhenUsed/>
    <w:qFormat/>
    <w:rsid w:val="00A10F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BodyText"/>
    <w:link w:val="Heading3Char"/>
    <w:uiPriority w:val="9"/>
    <w:semiHidden/>
    <w:unhideWhenUsed/>
    <w:qFormat/>
    <w:rsid w:val="00A10F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BodyText"/>
    <w:link w:val="Heading4Char"/>
    <w:uiPriority w:val="9"/>
    <w:semiHidden/>
    <w:unhideWhenUsed/>
    <w:qFormat/>
    <w:rsid w:val="00A10F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BodyText"/>
    <w:link w:val="Heading5Char"/>
    <w:uiPriority w:val="9"/>
    <w:semiHidden/>
    <w:unhideWhenUsed/>
    <w:qFormat/>
    <w:rsid w:val="00A10F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BodyText"/>
    <w:link w:val="Heading6Char"/>
    <w:uiPriority w:val="9"/>
    <w:semiHidden/>
    <w:unhideWhenUsed/>
    <w:qFormat/>
    <w:rsid w:val="00A10F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BodyText"/>
    <w:link w:val="Heading7Char"/>
    <w:uiPriority w:val="9"/>
    <w:semiHidden/>
    <w:unhideWhenUsed/>
    <w:qFormat/>
    <w:rsid w:val="00A10F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BodyText"/>
    <w:link w:val="Heading8Char"/>
    <w:uiPriority w:val="9"/>
    <w:semiHidden/>
    <w:unhideWhenUsed/>
    <w:qFormat/>
    <w:rsid w:val="00A10F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BodyText"/>
    <w:link w:val="Heading9Char"/>
    <w:uiPriority w:val="9"/>
    <w:semiHidden/>
    <w:unhideWhenUsed/>
    <w:qFormat/>
    <w:rsid w:val="00A10F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qFormat/>
    <w:pPr>
      <w:spacing w:before="180" w:after="180"/>
    </w:pPr>
  </w:style>
  <w:style w:type="paragraph" w:customStyle="1" w:styleId="FirstParagraph">
    <w:name w:val="First Paragraph"/>
    <w:basedOn w:val="BodyText"/>
    <w:next w:val="BodyText"/>
    <w:qFormat/>
  </w:style>
  <w:style w:type="paragraph" w:customStyle="1" w:styleId="Compact">
    <w:name w:val="Compact"/>
    <w:basedOn w:val="BodyText"/>
    <w:qFormat/>
    <w:pPr>
      <w:spacing w:before="36" w:after="36"/>
    </w:pPr>
  </w:style>
  <w:style w:type="paragraph" w:styleId="Title">
    <w:name w:val="Title"/>
    <w:basedOn w:val="Normal"/>
    <w:next w:val="BodyText"/>
    <w:link w:val="TitleChar"/>
    <w:uiPriority w:val="10"/>
    <w:qFormat/>
    <w:rsid w:val="00A10FD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10F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Title"/>
    <w:next w:val="BodyText"/>
    <w:link w:val="SubtitleChar"/>
    <w:uiPriority w:val="11"/>
    <w:qFormat/>
    <w:rsid w:val="00A10FD9"/>
    <w:pPr>
      <w:numPr>
        <w:ilvl w:val="1"/>
      </w:numPr>
    </w:pPr>
    <w:rPr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0F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customStyle="1" w:styleId="Author">
    <w:name w:val="Author"/>
    <w:next w:val="BodyText"/>
    <w:qFormat/>
    <w:pPr>
      <w:keepNext/>
      <w:keepLines/>
      <w:jc w:val="center"/>
    </w:pPr>
  </w:style>
  <w:style w:type="paragraph" w:styleId="Date">
    <w:name w:val="Date"/>
    <w:next w:val="BodyText"/>
    <w:qFormat/>
    <w:pPr>
      <w:keepNext/>
      <w:keepLines/>
      <w:jc w:val="center"/>
    </w:pPr>
  </w:style>
  <w:style w:type="paragraph" w:customStyle="1" w:styleId="AbstractTitle">
    <w:name w:val="Abstract Title"/>
    <w:basedOn w:val="Normal"/>
    <w:next w:val="Abstract"/>
    <w:qFormat/>
    <w:pPr>
      <w:keepNext/>
      <w:keepLines/>
      <w:spacing w:before="300" w:after="0"/>
      <w:jc w:val="center"/>
    </w:pPr>
    <w:rPr>
      <w:b/>
      <w:sz w:val="20"/>
      <w:szCs w:val="20"/>
    </w:rPr>
  </w:style>
  <w:style w:type="paragraph" w:customStyle="1" w:styleId="Abstract">
    <w:name w:val="Abstract"/>
    <w:basedOn w:val="Normal"/>
    <w:next w:val="BodyText"/>
    <w:qFormat/>
    <w:pPr>
      <w:keepNext/>
      <w:keepLines/>
      <w:spacing w:before="100" w:after="300"/>
    </w:pPr>
    <w:rPr>
      <w:sz w:val="20"/>
      <w:szCs w:val="20"/>
    </w:rPr>
  </w:style>
  <w:style w:type="paragraph" w:styleId="Bibliography">
    <w:name w:val="Bibliography"/>
    <w:basedOn w:val="Normal"/>
    <w:qFormat/>
  </w:style>
  <w:style w:type="character" w:customStyle="1" w:styleId="Heading1Char">
    <w:name w:val="Heading 1 Char"/>
    <w:basedOn w:val="DefaultParagraphFont"/>
    <w:link w:val="Heading1"/>
    <w:uiPriority w:val="9"/>
    <w:rsid w:val="00A10F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0F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10F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10FD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10FD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10FD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10FD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10FD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10FD9"/>
    <w:rPr>
      <w:rFonts w:eastAsiaTheme="majorEastAsia" w:cstheme="majorBidi"/>
      <w:color w:val="272727" w:themeColor="text1" w:themeTint="D8"/>
    </w:rPr>
  </w:style>
  <w:style w:type="paragraph" w:styleId="BlockText">
    <w:name w:val="Block Text"/>
    <w:basedOn w:val="BodyText"/>
    <w:next w:val="BodyText"/>
    <w:uiPriority w:val="9"/>
    <w:unhideWhenUsed/>
    <w:qFormat/>
    <w:pPr>
      <w:spacing w:before="100" w:after="100"/>
      <w:ind w:left="480" w:right="480"/>
    </w:pPr>
  </w:style>
  <w:style w:type="paragraph" w:styleId="FootnoteText">
    <w:name w:val="footnote text"/>
    <w:basedOn w:val="Normal"/>
    <w:uiPriority w:val="9"/>
    <w:unhideWhenUsed/>
    <w:qFormat/>
  </w:style>
  <w:style w:type="paragraph" w:customStyle="1" w:styleId="FootnoteBlockText">
    <w:name w:val="Footnote Block Text"/>
    <w:basedOn w:val="FootnoteText"/>
    <w:next w:val="FootnoteText"/>
    <w:uiPriority w:val="9"/>
    <w:unhideWhenUsed/>
    <w:qFormat/>
    <w:pPr>
      <w:spacing w:before="100" w:after="100"/>
      <w:ind w:left="480" w:right="480"/>
    </w:pPr>
  </w:style>
  <w:style w:type="table" w:customStyle="1" w:styleId="Table">
    <w:name w:val="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customStyle="1" w:styleId="DefinitionTerm">
    <w:name w:val="Definition Term"/>
    <w:basedOn w:val="Normal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Normal"/>
  </w:style>
  <w:style w:type="paragraph" w:styleId="Caption">
    <w:name w:val="caption"/>
    <w:basedOn w:val="Normal"/>
    <w:link w:val="CaptionChar"/>
    <w:pPr>
      <w:spacing w:after="120"/>
    </w:pPr>
    <w:rPr>
      <w:i/>
    </w:rPr>
  </w:style>
  <w:style w:type="paragraph" w:customStyle="1" w:styleId="TableCaption">
    <w:name w:val="Table Caption"/>
    <w:basedOn w:val="Caption"/>
    <w:pPr>
      <w:keepNext/>
    </w:pPr>
  </w:style>
  <w:style w:type="paragraph" w:customStyle="1" w:styleId="ImageCaption">
    <w:name w:val="Image Caption"/>
    <w:basedOn w:val="Caption"/>
  </w:style>
  <w:style w:type="paragraph" w:customStyle="1" w:styleId="Figure">
    <w:name w:val="Figure"/>
    <w:basedOn w:val="Normal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CaptionChar">
    <w:name w:val="Caption Char"/>
    <w:basedOn w:val="DefaultParagraphFont"/>
    <w:link w:val="Caption"/>
  </w:style>
  <w:style w:type="character" w:customStyle="1" w:styleId="VerbatimChar">
    <w:name w:val="Verbatim Char"/>
    <w:basedOn w:val="CaptionChar"/>
    <w:link w:val="SourceCode"/>
    <w:rPr>
      <w:rFonts w:ascii="Consolas" w:hAnsi="Consolas"/>
      <w:sz w:val="22"/>
    </w:rPr>
  </w:style>
  <w:style w:type="character" w:customStyle="1" w:styleId="SectionNumber">
    <w:name w:val="Section Number"/>
    <w:basedOn w:val="CaptionChar"/>
  </w:style>
  <w:style w:type="character" w:styleId="FootnoteReference">
    <w:name w:val="footnote reference"/>
    <w:basedOn w:val="CaptionChar"/>
    <w:rPr>
      <w:vertAlign w:val="superscript"/>
    </w:rPr>
  </w:style>
  <w:style w:type="character" w:styleId="Hyperlink">
    <w:name w:val="Hyperlink"/>
    <w:basedOn w:val="CaptionChar"/>
    <w:rPr>
      <w:color w:val="156082" w:themeColor="accent1"/>
    </w:rPr>
  </w:style>
  <w:style w:type="paragraph" w:styleId="TOCHeading">
    <w:name w:val="TOC Heading"/>
    <w:basedOn w:val="Heading1"/>
    <w:next w:val="BodyText"/>
    <w:uiPriority w:val="39"/>
    <w:unhideWhenUsed/>
    <w:qFormat/>
    <w:pPr>
      <w:spacing w:before="240" w:line="259" w:lineRule="auto"/>
      <w:outlineLvl w:val="9"/>
    </w:pPr>
  </w:style>
  <w:style w:type="paragraph" w:customStyle="1" w:styleId="SourceCode">
    <w:name w:val="Source Code"/>
    <w:basedOn w:val="Normal"/>
    <w:link w:val="VerbatimChar"/>
    <w:pPr>
      <w:wordWrap w:val="0"/>
    </w:pPr>
  </w:style>
  <w:style w:type="character" w:customStyle="1" w:styleId="KeywordTok">
    <w:name w:val="KeywordTok"/>
    <w:basedOn w:val="VerbatimChar"/>
    <w:rPr>
      <w:rFonts w:ascii="Consolas" w:hAnsi="Consolas"/>
      <w:b/>
      <w:color w:val="007020"/>
      <w:sz w:val="22"/>
    </w:rPr>
  </w:style>
  <w:style w:type="character" w:customStyle="1" w:styleId="DataTypeTok">
    <w:name w:val="DataTypeTok"/>
    <w:basedOn w:val="VerbatimChar"/>
    <w:rPr>
      <w:rFonts w:ascii="Consolas" w:hAnsi="Consolas"/>
      <w:color w:val="902000"/>
      <w:sz w:val="22"/>
    </w:rPr>
  </w:style>
  <w:style w:type="character" w:customStyle="1" w:styleId="DecValTok">
    <w:name w:val="DecValTok"/>
    <w:basedOn w:val="VerbatimChar"/>
    <w:rPr>
      <w:rFonts w:ascii="Consolas" w:hAnsi="Consolas"/>
      <w:color w:val="40A070"/>
      <w:sz w:val="22"/>
    </w:rPr>
  </w:style>
  <w:style w:type="character" w:customStyle="1" w:styleId="BaseNTok">
    <w:name w:val="BaseNTok"/>
    <w:basedOn w:val="VerbatimChar"/>
    <w:rPr>
      <w:rFonts w:ascii="Consolas" w:hAnsi="Consolas"/>
      <w:color w:val="40A070"/>
      <w:sz w:val="22"/>
    </w:rPr>
  </w:style>
  <w:style w:type="character" w:customStyle="1" w:styleId="FloatTok">
    <w:name w:val="FloatTok"/>
    <w:basedOn w:val="VerbatimChar"/>
    <w:rPr>
      <w:rFonts w:ascii="Consolas" w:hAnsi="Consolas"/>
      <w:color w:val="40A070"/>
      <w:sz w:val="22"/>
    </w:rPr>
  </w:style>
  <w:style w:type="character" w:customStyle="1" w:styleId="ConstantTok">
    <w:name w:val="ConstantTok"/>
    <w:basedOn w:val="VerbatimChar"/>
    <w:rPr>
      <w:rFonts w:ascii="Consolas" w:hAnsi="Consolas"/>
      <w:color w:val="880000"/>
      <w:sz w:val="22"/>
    </w:rPr>
  </w:style>
  <w:style w:type="character" w:customStyle="1" w:styleId="CharTok">
    <w:name w:val="CharTok"/>
    <w:basedOn w:val="VerbatimChar"/>
    <w:rPr>
      <w:rFonts w:ascii="Consolas" w:hAnsi="Consolas"/>
      <w:color w:val="4070A0"/>
      <w:sz w:val="22"/>
    </w:rPr>
  </w:style>
  <w:style w:type="character" w:customStyle="1" w:styleId="SpecialCharTok">
    <w:name w:val="SpecialCharTok"/>
    <w:basedOn w:val="VerbatimChar"/>
    <w:rPr>
      <w:rFonts w:ascii="Consolas" w:hAnsi="Consolas"/>
      <w:color w:val="4070A0"/>
      <w:sz w:val="22"/>
    </w:rPr>
  </w:style>
  <w:style w:type="character" w:customStyle="1" w:styleId="StringTok">
    <w:name w:val="StringTok"/>
    <w:basedOn w:val="VerbatimChar"/>
    <w:rPr>
      <w:rFonts w:ascii="Consolas" w:hAnsi="Consolas"/>
      <w:color w:val="4070A0"/>
      <w:sz w:val="22"/>
    </w:rPr>
  </w:style>
  <w:style w:type="character" w:customStyle="1" w:styleId="VerbatimStringTok">
    <w:name w:val="VerbatimStringTok"/>
    <w:basedOn w:val="VerbatimChar"/>
    <w:rPr>
      <w:rFonts w:ascii="Consolas" w:hAnsi="Consolas"/>
      <w:color w:val="4070A0"/>
      <w:sz w:val="22"/>
    </w:rPr>
  </w:style>
  <w:style w:type="character" w:customStyle="1" w:styleId="SpecialStringTok">
    <w:name w:val="SpecialStringTok"/>
    <w:basedOn w:val="VerbatimChar"/>
    <w:rPr>
      <w:rFonts w:ascii="Consolas" w:hAnsi="Consolas"/>
      <w:color w:val="BB6688"/>
      <w:sz w:val="22"/>
    </w:rPr>
  </w:style>
  <w:style w:type="character" w:customStyle="1" w:styleId="ImportTok">
    <w:name w:val="ImportTok"/>
    <w:basedOn w:val="VerbatimChar"/>
    <w:rPr>
      <w:rFonts w:ascii="Consolas" w:hAnsi="Consolas"/>
      <w:b/>
      <w:color w:val="008000"/>
      <w:sz w:val="22"/>
    </w:rPr>
  </w:style>
  <w:style w:type="character" w:customStyle="1" w:styleId="CommentTok">
    <w:name w:val="CommentTok"/>
    <w:basedOn w:val="VerbatimChar"/>
    <w:rPr>
      <w:rFonts w:ascii="Consolas" w:hAnsi="Consolas"/>
      <w:i/>
      <w:color w:val="60A0B0"/>
      <w:sz w:val="22"/>
    </w:rPr>
  </w:style>
  <w:style w:type="character" w:customStyle="1" w:styleId="DocumentationTok">
    <w:name w:val="DocumentationTok"/>
    <w:basedOn w:val="VerbatimChar"/>
    <w:rPr>
      <w:rFonts w:ascii="Consolas" w:hAnsi="Consolas"/>
      <w:i/>
      <w:color w:val="BA2121"/>
      <w:sz w:val="22"/>
    </w:rPr>
  </w:style>
  <w:style w:type="character" w:customStyle="1" w:styleId="AnnotationTok">
    <w:name w:val="Annot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CommentVarTok">
    <w:name w:val="CommentVar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OtherTok">
    <w:name w:val="OtherTok"/>
    <w:basedOn w:val="VerbatimChar"/>
    <w:rPr>
      <w:rFonts w:ascii="Consolas" w:hAnsi="Consolas"/>
      <w:color w:val="007020"/>
      <w:sz w:val="22"/>
    </w:rPr>
  </w:style>
  <w:style w:type="character" w:customStyle="1" w:styleId="FunctionTok">
    <w:name w:val="FunctionTok"/>
    <w:basedOn w:val="VerbatimChar"/>
    <w:rPr>
      <w:rFonts w:ascii="Consolas" w:hAnsi="Consolas"/>
      <w:color w:val="06287E"/>
      <w:sz w:val="22"/>
    </w:rPr>
  </w:style>
  <w:style w:type="character" w:customStyle="1" w:styleId="VariableTok">
    <w:name w:val="VariableTok"/>
    <w:basedOn w:val="VerbatimChar"/>
    <w:rPr>
      <w:rFonts w:ascii="Consolas" w:hAnsi="Consolas"/>
      <w:color w:val="19177C"/>
      <w:sz w:val="22"/>
    </w:rPr>
  </w:style>
  <w:style w:type="character" w:customStyle="1" w:styleId="ControlFlowTok">
    <w:name w:val="ControlFlowTok"/>
    <w:basedOn w:val="VerbatimChar"/>
    <w:rPr>
      <w:rFonts w:ascii="Consolas" w:hAnsi="Consolas"/>
      <w:b/>
      <w:color w:val="007020"/>
      <w:sz w:val="22"/>
    </w:rPr>
  </w:style>
  <w:style w:type="character" w:customStyle="1" w:styleId="OperatorTok">
    <w:name w:val="OperatorTok"/>
    <w:basedOn w:val="VerbatimChar"/>
    <w:rPr>
      <w:rFonts w:ascii="Consolas" w:hAnsi="Consolas"/>
      <w:color w:val="666666"/>
      <w:sz w:val="22"/>
    </w:rPr>
  </w:style>
  <w:style w:type="character" w:customStyle="1" w:styleId="BuiltInTok">
    <w:name w:val="BuiltInTok"/>
    <w:basedOn w:val="VerbatimChar"/>
    <w:rPr>
      <w:rFonts w:ascii="Consolas" w:hAnsi="Consolas"/>
      <w:color w:val="008000"/>
      <w:sz w:val="22"/>
    </w:rPr>
  </w:style>
  <w:style w:type="character" w:customStyle="1" w:styleId="ExtensionTok">
    <w:name w:val="ExtensionTok"/>
    <w:basedOn w:val="VerbatimChar"/>
    <w:rPr>
      <w:rFonts w:ascii="Consolas" w:hAnsi="Consolas"/>
      <w:sz w:val="22"/>
    </w:rPr>
  </w:style>
  <w:style w:type="character" w:customStyle="1" w:styleId="PreprocessorTok">
    <w:name w:val="PreprocessorTok"/>
    <w:basedOn w:val="VerbatimChar"/>
    <w:rPr>
      <w:rFonts w:ascii="Consolas" w:hAnsi="Consolas"/>
      <w:color w:val="BC7A00"/>
      <w:sz w:val="22"/>
    </w:rPr>
  </w:style>
  <w:style w:type="character" w:customStyle="1" w:styleId="AttributeTok">
    <w:name w:val="AttributeTok"/>
    <w:basedOn w:val="VerbatimChar"/>
    <w:rPr>
      <w:rFonts w:ascii="Consolas" w:hAnsi="Consolas"/>
      <w:color w:val="7D9029"/>
      <w:sz w:val="22"/>
    </w:rPr>
  </w:style>
  <w:style w:type="character" w:customStyle="1" w:styleId="RegionMarkerTok">
    <w:name w:val="RegionMarkerTok"/>
    <w:basedOn w:val="VerbatimChar"/>
    <w:rPr>
      <w:rFonts w:ascii="Consolas" w:hAnsi="Consolas"/>
      <w:sz w:val="22"/>
    </w:rPr>
  </w:style>
  <w:style w:type="character" w:customStyle="1" w:styleId="InformationTok">
    <w:name w:val="Inform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WarningTok">
    <w:name w:val="Warning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AlertTok">
    <w:name w:val="AlertTok"/>
    <w:basedOn w:val="VerbatimChar"/>
    <w:rPr>
      <w:rFonts w:ascii="Consolas" w:hAnsi="Consolas"/>
      <w:b/>
      <w:color w:val="FF0000"/>
      <w:sz w:val="22"/>
    </w:rPr>
  </w:style>
  <w:style w:type="character" w:customStyle="1" w:styleId="ErrorTok">
    <w:name w:val="ErrorTok"/>
    <w:basedOn w:val="VerbatimChar"/>
    <w:rPr>
      <w:rFonts w:ascii="Consolas" w:hAnsi="Consolas"/>
      <w:b/>
      <w:color w:val="FF0000"/>
      <w:sz w:val="22"/>
    </w:rPr>
  </w:style>
  <w:style w:type="character" w:customStyle="1" w:styleId="NormalTok">
    <w:name w:val="NormalTok"/>
    <w:basedOn w:val="VerbatimChar"/>
    <w:rPr>
      <w:rFonts w:ascii="Consolas" w:hAnsi="Consolas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253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684</Words>
  <Characters>3902</Characters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keywords/>
  <dcterms:created xsi:type="dcterms:W3CDTF">2025-07-25T05:04:00Z</dcterms:created>
  <dcterms:modified xsi:type="dcterms:W3CDTF">2025-07-25T05:46:00Z</dcterms:modified>
</cp:coreProperties>
</file>